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</w:pPr>
      <w:r>
        <w:t>РОССТАТ</w:t>
      </w:r>
    </w:p>
    <w:p w14:paraId="02000000">
      <w:pPr>
        <w:pStyle w:val="Style_1"/>
        <w:ind/>
        <w:jc w:val="center"/>
        <w:rPr>
          <w:b w:val="1"/>
        </w:rPr>
      </w:pPr>
      <w:r>
        <w:rPr>
          <w:b w:val="1"/>
        </w:rPr>
        <w:t>УПРАВЛЕНИЕ ФЕДЕРАЛЬНОЙ СЛУЖБЫ</w:t>
      </w:r>
      <w:r>
        <w:rPr>
          <w:b w:val="1"/>
        </w:rPr>
        <w:br/>
      </w:r>
      <w:r>
        <w:rPr>
          <w:b w:val="1"/>
        </w:rPr>
        <w:t>ГОСУДАРСТВЕННОЙ СТАТИСТИКИ ПО КРАСНОЯРСКОМУ КРАЮ, РЕСПУБЛИКЕ ХАКАСИЯ И РЕСПУБЛИКЕ ТЫВА</w:t>
      </w:r>
    </w:p>
    <w:p w14:paraId="03000000">
      <w:pPr>
        <w:pStyle w:val="Style_2"/>
      </w:pPr>
      <w:r>
        <w:t>(КРАСНОЯРСКСТАТ)</w:t>
      </w:r>
    </w:p>
    <w:p w14:paraId="04000000">
      <w:pPr>
        <w:ind/>
        <w:jc w:val="center"/>
        <w:rPr>
          <w:sz w:val="18"/>
        </w:rPr>
      </w:pP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ПРЕСС-ВЫПУСК</w:t>
      </w:r>
    </w:p>
    <w:p w14:paraId="06000000">
      <w:pPr>
        <w:tabs>
          <w:tab w:leader="none" w:pos="840" w:val="left"/>
          <w:tab w:leader="none" w:pos="4677" w:val="center"/>
        </w:tabs>
        <w:ind/>
        <w:jc w:val="center"/>
        <w:rPr>
          <w:sz w:val="24"/>
        </w:rPr>
      </w:pPr>
      <w:r>
        <w:rPr>
          <w:rFonts w:ascii="Arial" w:hAnsi="Arial"/>
          <w:b w:val="1"/>
          <w:sz w:val="26"/>
        </w:rPr>
        <w:t>Промышленное производство Красноярского края</w:t>
      </w:r>
      <w:r>
        <w:rPr>
          <w:rFonts w:ascii="Arial" w:hAnsi="Arial"/>
          <w:b w:val="1"/>
          <w:sz w:val="26"/>
        </w:rPr>
        <w:t xml:space="preserve"> </w:t>
      </w:r>
      <w:r>
        <w:rPr>
          <w:rFonts w:ascii="Arial" w:hAnsi="Arial"/>
          <w:b w:val="1"/>
          <w:sz w:val="26"/>
        </w:rPr>
        <w:t xml:space="preserve">в </w:t>
      </w:r>
      <w:r>
        <w:rPr>
          <w:rFonts w:ascii="Arial" w:hAnsi="Arial"/>
          <w:b w:val="1"/>
          <w:sz w:val="26"/>
        </w:rPr>
        <w:t>201</w:t>
      </w:r>
      <w:r>
        <w:rPr>
          <w:rFonts w:ascii="Arial" w:hAnsi="Arial"/>
          <w:b w:val="1"/>
          <w:sz w:val="26"/>
        </w:rPr>
        <w:t>9</w:t>
      </w:r>
      <w:r>
        <w:rPr>
          <w:rFonts w:ascii="Arial" w:hAnsi="Arial"/>
          <w:b w:val="1"/>
          <w:sz w:val="26"/>
        </w:rPr>
        <w:t xml:space="preserve"> </w:t>
      </w:r>
      <w:r>
        <w:rPr>
          <w:rFonts w:ascii="Arial" w:hAnsi="Arial"/>
          <w:b w:val="1"/>
          <w:sz w:val="26"/>
        </w:rPr>
        <w:t>год</w:t>
      </w:r>
      <w:r>
        <w:rPr>
          <w:rFonts w:ascii="Arial" w:hAnsi="Arial"/>
          <w:b w:val="1"/>
          <w:sz w:val="26"/>
        </w:rPr>
        <w:t>у</w:t>
      </w:r>
      <w:r>
        <w:rPr>
          <w:rFonts w:ascii="Arial" w:hAnsi="Arial"/>
          <w:b w:val="1"/>
          <w:sz w:val="26"/>
          <w:vertAlign w:val="superscript"/>
        </w:rPr>
        <w:t>1</w:t>
      </w:r>
      <w:r>
        <w:rPr>
          <w:rFonts w:ascii="Arial" w:hAnsi="Arial"/>
          <w:b w:val="1"/>
          <w:sz w:val="26"/>
          <w:vertAlign w:val="superscript"/>
        </w:rPr>
        <w:t>)</w:t>
      </w:r>
    </w:p>
    <w:p w14:paraId="07000000">
      <w:pPr>
        <w:tabs>
          <w:tab w:leader="none" w:pos="840" w:val="left"/>
          <w:tab w:leader="none" w:pos="4677" w:val="center"/>
        </w:tabs>
        <w:ind/>
        <w:jc w:val="center"/>
        <w:rPr>
          <w:sz w:val="24"/>
        </w:rPr>
      </w:pPr>
      <w:r>
        <w:rPr>
          <w:sz w:val="24"/>
        </w:rPr>
        <w:t>(при использовании данных ссылка на Красноярскстат обязательна)</w:t>
      </w:r>
    </w:p>
    <w:p w14:paraId="08000000">
      <w:pPr>
        <w:tabs>
          <w:tab w:leader="none" w:pos="840" w:val="left"/>
          <w:tab w:leader="none" w:pos="4677" w:val="center"/>
        </w:tabs>
        <w:ind/>
        <w:jc w:val="center"/>
        <w:rPr>
          <w:sz w:val="24"/>
        </w:rPr>
      </w:pPr>
    </w:p>
    <w:tbl>
      <w:tblPr>
        <w:tblStyle w:val="Style_3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</w:tblPr>
      <w:tblGrid>
        <w:gridCol w:w="4927"/>
        <w:gridCol w:w="4927"/>
      </w:tblGrid>
      <w:tr>
        <w:tc>
          <w:tcPr>
            <w:tcW w:type="dxa" w:w="49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9000000">
            <w:pPr>
              <w:tabs>
                <w:tab w:leader="none" w:pos="840" w:val="left"/>
                <w:tab w:leader="none" w:pos="4677" w:val="center"/>
              </w:tabs>
              <w:ind/>
              <w:jc w:val="both"/>
              <w:rPr>
                <w:sz w:val="27"/>
              </w:rPr>
            </w:pPr>
            <w:r>
              <w:rPr>
                <w:sz w:val="27"/>
              </w:rPr>
              <w:t>02.03.2020 г.</w:t>
            </w:r>
          </w:p>
        </w:tc>
        <w:tc>
          <w:tcPr>
            <w:tcW w:type="dxa" w:w="49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A000000">
            <w:pPr>
              <w:tabs>
                <w:tab w:leader="none" w:pos="840" w:val="left"/>
                <w:tab w:leader="none" w:pos="4677" w:val="center"/>
              </w:tabs>
              <w:ind/>
              <w:jc w:val="right"/>
              <w:rPr>
                <w:sz w:val="27"/>
              </w:rPr>
            </w:pPr>
            <w:r>
              <w:rPr>
                <w:sz w:val="27"/>
              </w:rPr>
              <w:t>г. Красноярск</w:t>
            </w:r>
          </w:p>
        </w:tc>
      </w:tr>
      <w:tr>
        <w:tc>
          <w:tcPr>
            <w:tcW w:type="dxa" w:w="49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B000000">
            <w:pPr>
              <w:tabs>
                <w:tab w:leader="none" w:pos="840" w:val="left"/>
                <w:tab w:leader="none" w:pos="4677" w:val="center"/>
              </w:tabs>
              <w:ind/>
              <w:jc w:val="both"/>
              <w:rPr>
                <w:sz w:val="27"/>
              </w:rPr>
            </w:pPr>
          </w:p>
        </w:tc>
        <w:tc>
          <w:tcPr>
            <w:tcW w:type="dxa" w:w="49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C000000">
            <w:pPr>
              <w:tabs>
                <w:tab w:leader="none" w:pos="840" w:val="left"/>
                <w:tab w:leader="none" w:pos="4677" w:val="center"/>
              </w:tabs>
              <w:ind/>
              <w:jc w:val="right"/>
              <w:rPr>
                <w:sz w:val="27"/>
              </w:rPr>
            </w:pPr>
          </w:p>
        </w:tc>
      </w:tr>
    </w:tbl>
    <w:p w14:paraId="0D000000">
      <w:pPr>
        <w:widowControl w:val="0"/>
        <w:spacing w:after="120"/>
        <w:ind w:firstLine="709"/>
        <w:jc w:val="both"/>
        <w:rPr>
          <w:sz w:val="27"/>
        </w:rPr>
      </w:pPr>
      <w:r>
        <w:rPr>
          <w:sz w:val="27"/>
        </w:rPr>
        <w:t xml:space="preserve">В 2019 году </w:t>
      </w:r>
      <w:r>
        <w:rPr>
          <w:sz w:val="27"/>
        </w:rPr>
        <w:t xml:space="preserve">по </w:t>
      </w:r>
      <w:r>
        <w:rPr>
          <w:sz w:val="27"/>
        </w:rPr>
        <w:t>отношению к</w:t>
      </w:r>
      <w:r>
        <w:rPr>
          <w:sz w:val="27"/>
        </w:rPr>
        <w:t xml:space="preserve"> 2018 год</w:t>
      </w:r>
      <w:r>
        <w:rPr>
          <w:sz w:val="27"/>
        </w:rPr>
        <w:t>у</w:t>
      </w:r>
      <w:r>
        <w:rPr>
          <w:sz w:val="27"/>
        </w:rPr>
        <w:t xml:space="preserve"> индекс</w:t>
      </w:r>
      <w:r>
        <w:rPr>
          <w:sz w:val="27"/>
        </w:rPr>
        <w:t xml:space="preserve"> промышленного </w:t>
      </w:r>
      <w:r>
        <w:rPr>
          <w:sz w:val="27"/>
        </w:rPr>
        <w:br/>
      </w:r>
      <w:r>
        <w:rPr>
          <w:sz w:val="27"/>
        </w:rPr>
        <w:t>производст</w:t>
      </w:r>
      <w:r>
        <w:rPr>
          <w:sz w:val="27"/>
        </w:rPr>
        <w:t>ва в Красноярском крае составил</w:t>
      </w:r>
      <w:r>
        <w:rPr>
          <w:sz w:val="27"/>
        </w:rPr>
        <w:t xml:space="preserve"> </w:t>
      </w:r>
      <w:r>
        <w:rPr>
          <w:sz w:val="27"/>
        </w:rPr>
        <w:t>101</w:t>
      </w:r>
      <w:r>
        <w:rPr>
          <w:sz w:val="27"/>
        </w:rPr>
        <w:t>,2</w:t>
      </w:r>
      <w:r>
        <w:rPr>
          <w:sz w:val="27"/>
        </w:rPr>
        <w:t xml:space="preserve"> процент</w:t>
      </w:r>
      <w:r>
        <w:rPr>
          <w:sz w:val="27"/>
        </w:rPr>
        <w:t>а</w:t>
      </w:r>
      <w:r>
        <w:rPr>
          <w:sz w:val="27"/>
        </w:rPr>
        <w:t xml:space="preserve">. </w:t>
      </w:r>
      <w:r>
        <w:rPr>
          <w:sz w:val="27"/>
        </w:rPr>
        <w:t xml:space="preserve">Рост объемов </w:t>
      </w:r>
      <w:r>
        <w:rPr>
          <w:sz w:val="27"/>
        </w:rPr>
        <w:br/>
      </w:r>
      <w:r>
        <w:rPr>
          <w:sz w:val="27"/>
        </w:rPr>
        <w:t>выпуска продукции продемонстрировали обрабатывающи</w:t>
      </w:r>
      <w:r>
        <w:rPr>
          <w:sz w:val="27"/>
        </w:rPr>
        <w:t>е</w:t>
      </w:r>
      <w:r>
        <w:rPr>
          <w:sz w:val="27"/>
        </w:rPr>
        <w:t xml:space="preserve"> производств</w:t>
      </w:r>
      <w:r>
        <w:rPr>
          <w:sz w:val="27"/>
        </w:rPr>
        <w:t>а</w:t>
      </w:r>
      <w:r>
        <w:rPr>
          <w:sz w:val="27"/>
        </w:rPr>
        <w:t xml:space="preserve"> </w:t>
      </w:r>
      <w:r>
        <w:rPr>
          <w:sz w:val="27"/>
        </w:rPr>
        <w:br/>
      </w:r>
      <w:r>
        <w:rPr>
          <w:sz w:val="27"/>
        </w:rPr>
        <w:t>и организации по в</w:t>
      </w:r>
      <w:r>
        <w:rPr>
          <w:sz w:val="27"/>
        </w:rPr>
        <w:t>одоснабжени</w:t>
      </w:r>
      <w:r>
        <w:rPr>
          <w:sz w:val="27"/>
        </w:rPr>
        <w:t>ю</w:t>
      </w:r>
      <w:r>
        <w:rPr>
          <w:sz w:val="27"/>
        </w:rPr>
        <w:t>; водоотведени</w:t>
      </w:r>
      <w:r>
        <w:rPr>
          <w:sz w:val="27"/>
        </w:rPr>
        <w:t>ю</w:t>
      </w:r>
      <w:r>
        <w:rPr>
          <w:sz w:val="27"/>
        </w:rPr>
        <w:t>, организаци</w:t>
      </w:r>
      <w:r>
        <w:rPr>
          <w:sz w:val="27"/>
        </w:rPr>
        <w:t>и</w:t>
      </w:r>
      <w:r>
        <w:rPr>
          <w:sz w:val="27"/>
        </w:rPr>
        <w:t xml:space="preserve"> сбора </w:t>
      </w:r>
      <w:r>
        <w:rPr>
          <w:sz w:val="27"/>
        </w:rPr>
        <w:br/>
      </w:r>
      <w:r>
        <w:rPr>
          <w:sz w:val="27"/>
        </w:rPr>
        <w:t>и утилизации отходов, деятельност</w:t>
      </w:r>
      <w:r>
        <w:rPr>
          <w:sz w:val="27"/>
        </w:rPr>
        <w:t>и</w:t>
      </w:r>
      <w:r>
        <w:rPr>
          <w:sz w:val="27"/>
        </w:rPr>
        <w:t xml:space="preserve"> по ликвидации загрязнений</w:t>
      </w:r>
      <w:r>
        <w:rPr>
          <w:sz w:val="27"/>
        </w:rPr>
        <w:t xml:space="preserve"> (индексы производства </w:t>
      </w:r>
      <w:r>
        <w:rPr>
          <w:sz w:val="27"/>
        </w:rPr>
        <w:t>составили</w:t>
      </w:r>
      <w:r>
        <w:rPr>
          <w:sz w:val="27"/>
        </w:rPr>
        <w:t xml:space="preserve"> 10</w:t>
      </w:r>
      <w:r>
        <w:rPr>
          <w:sz w:val="27"/>
        </w:rPr>
        <w:t>3</w:t>
      </w:r>
      <w:r>
        <w:rPr>
          <w:sz w:val="27"/>
        </w:rPr>
        <w:t>,</w:t>
      </w:r>
      <w:r>
        <w:rPr>
          <w:sz w:val="27"/>
        </w:rPr>
        <w:t>8</w:t>
      </w:r>
      <w:r>
        <w:rPr>
          <w:sz w:val="27"/>
        </w:rPr>
        <w:t xml:space="preserve"> процента и 100,</w:t>
      </w:r>
      <w:r>
        <w:rPr>
          <w:sz w:val="27"/>
        </w:rPr>
        <w:t>1</w:t>
      </w:r>
      <w:r>
        <w:rPr>
          <w:sz w:val="27"/>
        </w:rPr>
        <w:t xml:space="preserve"> процента соответственно)</w:t>
      </w:r>
      <w:r>
        <w:rPr>
          <w:sz w:val="27"/>
        </w:rPr>
        <w:t xml:space="preserve">; </w:t>
      </w:r>
      <w:r>
        <w:rPr>
          <w:sz w:val="27"/>
        </w:rPr>
        <w:br/>
      </w:r>
      <w:r>
        <w:rPr>
          <w:sz w:val="27"/>
        </w:rPr>
        <w:t>в</w:t>
      </w:r>
      <w:r>
        <w:rPr>
          <w:sz w:val="27"/>
        </w:rPr>
        <w:t xml:space="preserve"> добыче полезных ископаемых и о</w:t>
      </w:r>
      <w:r>
        <w:rPr>
          <w:sz w:val="27"/>
        </w:rPr>
        <w:t>беспечени</w:t>
      </w:r>
      <w:r>
        <w:rPr>
          <w:sz w:val="27"/>
        </w:rPr>
        <w:t>и</w:t>
      </w:r>
      <w:r>
        <w:rPr>
          <w:sz w:val="27"/>
        </w:rPr>
        <w:t xml:space="preserve"> электрической энергией, газом </w:t>
      </w:r>
      <w:r>
        <w:rPr>
          <w:sz w:val="27"/>
        </w:rPr>
        <w:br/>
      </w:r>
      <w:r>
        <w:rPr>
          <w:sz w:val="27"/>
        </w:rPr>
        <w:t>и паром; кондиционировани</w:t>
      </w:r>
      <w:r>
        <w:rPr>
          <w:sz w:val="27"/>
        </w:rPr>
        <w:t>и</w:t>
      </w:r>
      <w:r>
        <w:rPr>
          <w:sz w:val="27"/>
        </w:rPr>
        <w:t xml:space="preserve"> воздуха</w:t>
      </w:r>
      <w:r>
        <w:rPr>
          <w:sz w:val="27"/>
        </w:rPr>
        <w:t xml:space="preserve"> отмечено снижение объемов производства (9</w:t>
      </w:r>
      <w:r>
        <w:rPr>
          <w:sz w:val="27"/>
        </w:rPr>
        <w:t>8</w:t>
      </w:r>
      <w:r>
        <w:rPr>
          <w:sz w:val="27"/>
        </w:rPr>
        <w:t>,</w:t>
      </w:r>
      <w:r>
        <w:rPr>
          <w:sz w:val="27"/>
        </w:rPr>
        <w:t>2</w:t>
      </w:r>
      <w:r>
        <w:rPr>
          <w:sz w:val="27"/>
        </w:rPr>
        <w:t xml:space="preserve"> процента и</w:t>
      </w:r>
      <w:r>
        <w:rPr>
          <w:sz w:val="27"/>
        </w:rPr>
        <w:t xml:space="preserve"> 99,</w:t>
      </w:r>
      <w:r>
        <w:rPr>
          <w:sz w:val="27"/>
        </w:rPr>
        <w:t>6</w:t>
      </w:r>
      <w:r>
        <w:rPr>
          <w:sz w:val="27"/>
        </w:rPr>
        <w:t xml:space="preserve"> процента соответственно):</w:t>
      </w:r>
    </w:p>
    <w:tbl>
      <w:tblPr>
        <w:tblStyle w:val="Style_4"/>
      </w:tblPr>
      <w:tblGrid>
        <w:gridCol w:w="8506"/>
        <w:gridCol w:w="248"/>
        <w:gridCol w:w="1100"/>
      </w:tblGrid>
      <w:tr>
        <w:trPr>
          <w:trHeight w:hRule="atLeast" w:val="283"/>
        </w:trP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00000">
            <w:pPr>
              <w:ind w:hanging="170" w:left="170"/>
              <w:rPr>
                <w:sz w:val="23"/>
              </w:rPr>
            </w:pPr>
          </w:p>
        </w:tc>
        <w:tc>
          <w:tcPr>
            <w:tcW w:type="dxa" w:w="13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 xml:space="preserve">2019 г. в % 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>к 2018 г.</w:t>
            </w:r>
          </w:p>
        </w:tc>
      </w:tr>
      <w:tr>
        <w:trPr>
          <w:trHeight w:hRule="atLeast" w:val="283"/>
        </w:trPr>
        <w:tc>
          <w:tcPr>
            <w:tcW w:type="dxa" w:w="850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shd w:fill="auto" w:val="clear"/>
            <w:vAlign w:val="bottom"/>
          </w:tcPr>
          <w:p w14:paraId="10000000">
            <w:pPr>
              <w:ind w:hanging="170" w:left="170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 xml:space="preserve">Промышленное производство </w:t>
            </w:r>
          </w:p>
        </w:tc>
        <w:tc>
          <w:tcPr>
            <w:tcW w:type="dxa" w:w="1348"/>
            <w:gridSpan w:val="2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11000000">
            <w:pPr>
              <w:ind w:hanging="170" w:left="170"/>
              <w:jc w:val="right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101,</w:t>
            </w:r>
            <w:r>
              <w:rPr>
                <w:b w:val="1"/>
                <w:sz w:val="23"/>
              </w:rPr>
              <w:t>2</w:t>
            </w:r>
          </w:p>
        </w:tc>
      </w:tr>
      <w:tr>
        <w:trPr>
          <w:trHeight w:hRule="atLeast" w:val="283"/>
        </w:trPr>
        <w:tc>
          <w:tcPr>
            <w:tcW w:type="dxa" w:w="8506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vAlign w:val="bottom"/>
          </w:tcPr>
          <w:p w14:paraId="12000000">
            <w:pPr>
              <w:ind w:hanging="170" w:left="340"/>
              <w:rPr>
                <w:sz w:val="23"/>
              </w:rPr>
            </w:pPr>
            <w:r>
              <w:rPr>
                <w:sz w:val="23"/>
              </w:rPr>
              <w:t>Добыча полезных ископаемых</w:t>
            </w:r>
          </w:p>
        </w:tc>
        <w:tc>
          <w:tcPr>
            <w:tcW w:type="dxa" w:w="1348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13000000">
            <w:pPr>
              <w:ind w:hanging="170" w:left="170"/>
              <w:jc w:val="right"/>
              <w:rPr>
                <w:sz w:val="23"/>
              </w:rPr>
            </w:pPr>
            <w:r>
              <w:rPr>
                <w:sz w:val="23"/>
              </w:rPr>
              <w:t>9</w:t>
            </w:r>
            <w:r>
              <w:rPr>
                <w:sz w:val="23"/>
              </w:rPr>
              <w:t>8</w:t>
            </w:r>
            <w:r>
              <w:rPr>
                <w:sz w:val="23"/>
              </w:rPr>
              <w:t>,</w:t>
            </w:r>
            <w:r>
              <w:rPr>
                <w:sz w:val="23"/>
              </w:rPr>
              <w:t>2</w:t>
            </w:r>
          </w:p>
        </w:tc>
      </w:tr>
      <w:tr>
        <w:trPr>
          <w:trHeight w:hRule="atLeast" w:val="283"/>
        </w:trPr>
        <w:tc>
          <w:tcPr>
            <w:tcW w:type="dxa" w:w="8506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vAlign w:val="bottom"/>
          </w:tcPr>
          <w:p w14:paraId="14000000">
            <w:pPr>
              <w:ind w:hanging="170" w:left="340"/>
              <w:rPr>
                <w:sz w:val="23"/>
              </w:rPr>
            </w:pPr>
            <w:r>
              <w:rPr>
                <w:sz w:val="23"/>
              </w:rPr>
              <w:t>Обрабатывающие производства</w:t>
            </w:r>
          </w:p>
        </w:tc>
        <w:tc>
          <w:tcPr>
            <w:tcW w:type="dxa" w:w="1348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15000000">
            <w:pPr>
              <w:ind w:hanging="170" w:left="170"/>
              <w:jc w:val="right"/>
              <w:rPr>
                <w:sz w:val="23"/>
              </w:rPr>
            </w:pPr>
            <w:r>
              <w:rPr>
                <w:sz w:val="23"/>
              </w:rPr>
              <w:t>10</w:t>
            </w:r>
            <w:r>
              <w:rPr>
                <w:sz w:val="23"/>
              </w:rPr>
              <w:t>3</w:t>
            </w:r>
            <w:r>
              <w:rPr>
                <w:sz w:val="23"/>
              </w:rPr>
              <w:t>,</w:t>
            </w:r>
            <w:r>
              <w:rPr>
                <w:sz w:val="23"/>
              </w:rPr>
              <w:t>8</w:t>
            </w:r>
          </w:p>
        </w:tc>
      </w:tr>
      <w:tr>
        <w:trPr>
          <w:trHeight w:hRule="atLeast" w:val="283"/>
        </w:trPr>
        <w:tc>
          <w:tcPr>
            <w:tcW w:type="dxa" w:w="8754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vAlign w:val="bottom"/>
          </w:tcPr>
          <w:p w14:paraId="16000000">
            <w:pPr>
              <w:ind w:hanging="170" w:left="340"/>
              <w:rPr>
                <w:sz w:val="23"/>
              </w:rPr>
            </w:pPr>
            <w:r>
              <w:rPr>
                <w:sz w:val="23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type="dxa" w:w="110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17000000">
            <w:pPr>
              <w:ind w:hanging="170" w:left="170"/>
              <w:jc w:val="right"/>
              <w:rPr>
                <w:sz w:val="23"/>
              </w:rPr>
            </w:pPr>
            <w:r>
              <w:rPr>
                <w:sz w:val="23"/>
              </w:rPr>
              <w:t>99,</w:t>
            </w:r>
            <w:r>
              <w:rPr>
                <w:sz w:val="23"/>
              </w:rPr>
              <w:t>6</w:t>
            </w:r>
          </w:p>
        </w:tc>
      </w:tr>
      <w:tr>
        <w:trPr>
          <w:trHeight w:hRule="atLeast" w:val="283"/>
        </w:trPr>
        <w:tc>
          <w:tcPr>
            <w:tcW w:type="dxa" w:w="8506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8000000">
            <w:pPr>
              <w:ind w:hanging="170" w:left="340"/>
              <w:rPr>
                <w:sz w:val="23"/>
              </w:rPr>
            </w:pPr>
            <w:r>
              <w:rPr>
                <w:sz w:val="23"/>
              </w:rPr>
              <w:t xml:space="preserve">Водоснабжение; водоотведение, организация сбора и утилизации отходов, 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>деятельность по ликвидации загрязнений</w:t>
            </w:r>
          </w:p>
        </w:tc>
        <w:tc>
          <w:tcPr>
            <w:tcW w:type="dxa" w:w="134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00000">
            <w:pPr>
              <w:ind w:hanging="170" w:left="170"/>
              <w:jc w:val="right"/>
              <w:rPr>
                <w:sz w:val="23"/>
              </w:rPr>
            </w:pPr>
            <w:r>
              <w:rPr>
                <w:sz w:val="23"/>
              </w:rPr>
              <w:t>100,</w:t>
            </w:r>
            <w:r>
              <w:rPr>
                <w:sz w:val="23"/>
              </w:rPr>
              <w:t>1</w:t>
            </w:r>
          </w:p>
        </w:tc>
      </w:tr>
    </w:tbl>
    <w:p w14:paraId="1A000000">
      <w:pPr>
        <w:spacing w:line="276" w:lineRule="auto"/>
        <w:ind w:firstLine="709"/>
        <w:jc w:val="both"/>
        <w:rPr>
          <w:sz w:val="14"/>
        </w:rPr>
      </w:pPr>
    </w:p>
    <w:p w14:paraId="1B000000">
      <w:pPr>
        <w:ind w:firstLine="709"/>
        <w:jc w:val="both"/>
        <w:rPr>
          <w:sz w:val="27"/>
        </w:rPr>
      </w:pPr>
      <w:r>
        <w:rPr>
          <w:sz w:val="27"/>
        </w:rPr>
        <w:t>Р</w:t>
      </w:r>
      <w:r>
        <w:rPr>
          <w:sz w:val="27"/>
        </w:rPr>
        <w:t>ост объемов обрабатывающих производств обеспечен организациями металлургического производства (</w:t>
      </w:r>
      <w:r>
        <w:rPr>
          <w:sz w:val="27"/>
        </w:rPr>
        <w:t xml:space="preserve">индекс производства – </w:t>
      </w:r>
      <w:r>
        <w:rPr>
          <w:sz w:val="27"/>
        </w:rPr>
        <w:t>10</w:t>
      </w:r>
      <w:r>
        <w:rPr>
          <w:sz w:val="27"/>
        </w:rPr>
        <w:t>3</w:t>
      </w:r>
      <w:r>
        <w:rPr>
          <w:sz w:val="27"/>
        </w:rPr>
        <w:t>,</w:t>
      </w:r>
      <w:r>
        <w:rPr>
          <w:sz w:val="27"/>
        </w:rPr>
        <w:t>7</w:t>
      </w:r>
      <w:r>
        <w:rPr>
          <w:sz w:val="27"/>
        </w:rPr>
        <w:t xml:space="preserve"> процента </w:t>
      </w:r>
      <w:r>
        <w:rPr>
          <w:sz w:val="27"/>
        </w:rPr>
        <w:br/>
      </w:r>
      <w:r>
        <w:rPr>
          <w:sz w:val="27"/>
        </w:rPr>
        <w:t>к</w:t>
      </w:r>
      <w:r>
        <w:rPr>
          <w:sz w:val="27"/>
        </w:rPr>
        <w:t xml:space="preserve"> </w:t>
      </w:r>
      <w:r>
        <w:rPr>
          <w:sz w:val="27"/>
        </w:rPr>
        <w:t>2018 год</w:t>
      </w:r>
      <w:r>
        <w:rPr>
          <w:sz w:val="27"/>
        </w:rPr>
        <w:t>у</w:t>
      </w:r>
      <w:r>
        <w:rPr>
          <w:sz w:val="27"/>
        </w:rPr>
        <w:t xml:space="preserve">) и организациями по </w:t>
      </w:r>
      <w:r>
        <w:rPr>
          <w:sz w:val="27"/>
        </w:rPr>
        <w:t xml:space="preserve">ремонту и монтажу машин и оборудования </w:t>
      </w:r>
      <w:r>
        <w:rPr>
          <w:sz w:val="27"/>
        </w:rPr>
        <w:br/>
      </w:r>
      <w:r>
        <w:rPr>
          <w:sz w:val="27"/>
        </w:rPr>
        <w:t>(127,1</w:t>
      </w:r>
      <w:r>
        <w:rPr>
          <w:sz w:val="27"/>
        </w:rPr>
        <w:t xml:space="preserve"> процента</w:t>
      </w:r>
      <w:r>
        <w:rPr>
          <w:sz w:val="27"/>
        </w:rPr>
        <w:t>)</w:t>
      </w:r>
      <w:r>
        <w:rPr>
          <w:sz w:val="27"/>
        </w:rPr>
        <w:t xml:space="preserve">. </w:t>
      </w:r>
    </w:p>
    <w:p w14:paraId="1C000000">
      <w:pPr>
        <w:ind w:firstLine="709"/>
        <w:jc w:val="both"/>
        <w:rPr>
          <w:sz w:val="27"/>
        </w:rPr>
      </w:pPr>
      <w:r>
        <w:rPr>
          <w:sz w:val="27"/>
        </w:rPr>
        <w:t>Также</w:t>
      </w:r>
      <w:r>
        <w:rPr>
          <w:sz w:val="27"/>
        </w:rPr>
        <w:t xml:space="preserve"> с</w:t>
      </w:r>
      <w:r>
        <w:rPr>
          <w:sz w:val="27"/>
        </w:rPr>
        <w:t xml:space="preserve">ущественно увеличились объемы выпуска продукции в </w:t>
      </w:r>
      <w:r>
        <w:rPr>
          <w:sz w:val="27"/>
        </w:rPr>
        <w:t>обработке древесины и производств</w:t>
      </w:r>
      <w:r>
        <w:rPr>
          <w:sz w:val="27"/>
        </w:rPr>
        <w:t>е</w:t>
      </w:r>
      <w:r>
        <w:rPr>
          <w:sz w:val="27"/>
        </w:rPr>
        <w:t xml:space="preserve"> изделий из дерева и пробки, кроме мебели, производств</w:t>
      </w:r>
      <w:r>
        <w:rPr>
          <w:sz w:val="27"/>
        </w:rPr>
        <w:t xml:space="preserve">е </w:t>
      </w:r>
      <w:r>
        <w:rPr>
          <w:sz w:val="27"/>
        </w:rPr>
        <w:t>изделий из соломки и материалов для плетения (</w:t>
      </w:r>
      <w:r>
        <w:rPr>
          <w:sz w:val="27"/>
        </w:rPr>
        <w:t xml:space="preserve">113,6 </w:t>
      </w:r>
      <w:r>
        <w:rPr>
          <w:sz w:val="27"/>
        </w:rPr>
        <w:t>процента</w:t>
      </w:r>
      <w:r>
        <w:rPr>
          <w:sz w:val="27"/>
        </w:rPr>
        <w:t>)</w:t>
      </w:r>
      <w:r>
        <w:rPr>
          <w:sz w:val="27"/>
        </w:rPr>
        <w:t xml:space="preserve">. </w:t>
      </w:r>
      <w:r>
        <w:rPr>
          <w:sz w:val="27"/>
        </w:rPr>
        <w:br/>
      </w:r>
      <w:r>
        <w:rPr>
          <w:sz w:val="27"/>
        </w:rPr>
        <w:t>По сравнению с 2018 годом в</w:t>
      </w:r>
      <w:r>
        <w:rPr>
          <w:sz w:val="27"/>
        </w:rPr>
        <w:t xml:space="preserve">ыпуск гранул топливных (пеллет) из отходов деревопереработки </w:t>
      </w:r>
      <w:r>
        <w:rPr>
          <w:sz w:val="27"/>
        </w:rPr>
        <w:t>увеличился</w:t>
      </w:r>
      <w:r>
        <w:rPr>
          <w:sz w:val="27"/>
        </w:rPr>
        <w:t xml:space="preserve"> на </w:t>
      </w:r>
      <w:r>
        <w:rPr>
          <w:sz w:val="27"/>
        </w:rPr>
        <w:t>53</w:t>
      </w:r>
      <w:r>
        <w:rPr>
          <w:sz w:val="27"/>
        </w:rPr>
        <w:t>,</w:t>
      </w:r>
      <w:r>
        <w:rPr>
          <w:sz w:val="27"/>
        </w:rPr>
        <w:t>8</w:t>
      </w:r>
      <w:r>
        <w:rPr>
          <w:sz w:val="27"/>
        </w:rPr>
        <w:t xml:space="preserve"> процента, </w:t>
      </w:r>
      <w:r>
        <w:rPr>
          <w:sz w:val="27"/>
        </w:rPr>
        <w:t xml:space="preserve">пиломатериалов хвойных </w:t>
      </w:r>
      <w:r>
        <w:rPr>
          <w:sz w:val="27"/>
        </w:rPr>
        <w:br/>
      </w:r>
      <w:r>
        <w:rPr>
          <w:sz w:val="27"/>
        </w:rPr>
        <w:t xml:space="preserve">пород – </w:t>
      </w:r>
      <w:r>
        <w:rPr>
          <w:sz w:val="27"/>
        </w:rPr>
        <w:t xml:space="preserve">на </w:t>
      </w:r>
      <w:r>
        <w:rPr>
          <w:sz w:val="27"/>
        </w:rPr>
        <w:t>11,5</w:t>
      </w:r>
      <w:r>
        <w:rPr>
          <w:sz w:val="27"/>
        </w:rPr>
        <w:t xml:space="preserve"> про</w:t>
      </w:r>
      <w:r>
        <w:rPr>
          <w:sz w:val="27"/>
        </w:rPr>
        <w:t>цент</w:t>
      </w:r>
      <w:r>
        <w:rPr>
          <w:sz w:val="27"/>
        </w:rPr>
        <w:t>а</w:t>
      </w:r>
      <w:r>
        <w:rPr>
          <w:sz w:val="27"/>
        </w:rPr>
        <w:t xml:space="preserve">. </w:t>
      </w:r>
    </w:p>
    <w:p w14:paraId="1D000000">
      <w:pPr>
        <w:ind w:firstLine="709"/>
        <w:jc w:val="both"/>
        <w:rPr>
          <w:sz w:val="27"/>
        </w:rPr>
      </w:pPr>
      <w:r>
        <w:rPr>
          <w:sz w:val="27"/>
        </w:rPr>
        <w:t>Производство химических веществ и химических продуктов (индекс производства – 104,1 процента) выросло в связи с увеличением объемов производства прочих основных неорганических химических веществ</w:t>
      </w:r>
      <w:r>
        <w:rPr>
          <w:sz w:val="27"/>
        </w:rPr>
        <w:t>; пр</w:t>
      </w:r>
      <w:r>
        <w:rPr>
          <w:sz w:val="27"/>
        </w:rPr>
        <w:t xml:space="preserve">оизводство автотранспортных средств, прицепов и полуприцепов </w:t>
      </w:r>
      <w:r>
        <w:rPr>
          <w:sz w:val="27"/>
        </w:rPr>
        <w:br/>
      </w:r>
      <w:r>
        <w:rPr>
          <w:sz w:val="27"/>
        </w:rPr>
        <w:t xml:space="preserve">(123,6 процента) </w:t>
      </w:r>
      <w:r>
        <w:rPr>
          <w:sz w:val="27"/>
        </w:rPr>
        <w:t xml:space="preserve">– за счет роста выпуска комплектующих и принадлежностей </w:t>
      </w:r>
      <w:r>
        <w:rPr>
          <w:sz w:val="27"/>
        </w:rPr>
        <w:br/>
      </w:r>
      <w:r>
        <w:rPr>
          <w:sz w:val="27"/>
        </w:rPr>
        <w:t xml:space="preserve">для автотранспортных средств. </w:t>
      </w:r>
    </w:p>
    <w:p w14:paraId="1E000000">
      <w:pPr>
        <w:widowControl w:val="0"/>
        <w:ind w:firstLine="709"/>
        <w:jc w:val="both"/>
        <w:rPr>
          <w:sz w:val="27"/>
        </w:rPr>
      </w:pPr>
      <w:r>
        <w:rPr>
          <w:sz w:val="27"/>
        </w:rPr>
        <w:t>Снижение объемов обрабатывающих производств отмечено по следующим видам экономической деятельности: производство прочих транспортных средств</w:t>
      </w:r>
    </w:p>
    <w:p w14:paraId="1F000000">
      <w:pPr>
        <w:widowControl w:val="0"/>
        <w:ind w:firstLine="709"/>
        <w:jc w:val="both"/>
        <w:rPr>
          <w:sz w:val="27"/>
        </w:rPr>
      </w:pPr>
    </w:p>
    <w:p w14:paraId="20000000">
      <w:pPr>
        <w:widowControl w:val="0"/>
        <w:tabs>
          <w:tab w:leader="none" w:pos="284" w:val="left"/>
        </w:tabs>
        <w:ind/>
        <w:jc w:val="both"/>
        <w:rPr>
          <w:sz w:val="19"/>
        </w:rPr>
      </w:pPr>
      <w:r>
        <w:rPr>
          <w:sz w:val="19"/>
          <w:vertAlign w:val="superscript"/>
        </w:rPr>
        <w:t>1)</w:t>
      </w:r>
      <w:r>
        <w:rPr>
          <w:sz w:val="19"/>
        </w:rPr>
        <w:t xml:space="preserve"> </w:t>
      </w:r>
      <w:r>
        <w:rPr>
          <w:sz w:val="19"/>
        </w:rPr>
        <w:t>При исчислении индекса промышленного производства и индексов производства по видам экономической деятельности в качестве весов использована структура валовой добавленной стоимости по видам экономической деятельности 2018 базисного года.</w:t>
      </w:r>
    </w:p>
    <w:p w14:paraId="21000000">
      <w:pPr>
        <w:ind/>
        <w:jc w:val="both"/>
        <w:rPr>
          <w:sz w:val="27"/>
        </w:rPr>
      </w:pPr>
      <w:r>
        <w:rPr>
          <w:sz w:val="27"/>
        </w:rPr>
        <w:t>и оборудования (</w:t>
      </w:r>
      <w:r>
        <w:rPr>
          <w:sz w:val="27"/>
        </w:rPr>
        <w:t xml:space="preserve">индекс производства – </w:t>
      </w:r>
      <w:r>
        <w:rPr>
          <w:sz w:val="27"/>
        </w:rPr>
        <w:t xml:space="preserve">59,7 </w:t>
      </w:r>
      <w:r>
        <w:rPr>
          <w:sz w:val="27"/>
        </w:rPr>
        <w:t>процента</w:t>
      </w:r>
      <w:r>
        <w:rPr>
          <w:sz w:val="27"/>
        </w:rPr>
        <w:t xml:space="preserve"> к 2018 году)</w:t>
      </w:r>
      <w:r>
        <w:rPr>
          <w:sz w:val="27"/>
        </w:rPr>
        <w:t xml:space="preserve">; </w:t>
      </w:r>
      <w:r>
        <w:rPr>
          <w:sz w:val="27"/>
        </w:rPr>
        <w:t>производство кокса и нефтепродуктов (</w:t>
      </w:r>
      <w:r>
        <w:rPr>
          <w:sz w:val="27"/>
        </w:rPr>
        <w:t xml:space="preserve">90,9 </w:t>
      </w:r>
      <w:r>
        <w:rPr>
          <w:sz w:val="27"/>
        </w:rPr>
        <w:t>процента) – за счет снижения объемов производства автомобильного бензина, мазута топочного, дизельного топлива</w:t>
      </w:r>
      <w:r>
        <w:rPr>
          <w:sz w:val="27"/>
        </w:rPr>
        <w:t xml:space="preserve">; производство готовых металлических изделий, кроме машин и оборудования </w:t>
      </w:r>
      <w:r>
        <w:rPr>
          <w:sz w:val="27"/>
        </w:rPr>
        <w:br/>
      </w:r>
      <w:r>
        <w:rPr>
          <w:sz w:val="27"/>
        </w:rPr>
        <w:t>(88,8 процента)</w:t>
      </w:r>
      <w:r>
        <w:rPr>
          <w:sz w:val="27"/>
        </w:rPr>
        <w:t xml:space="preserve"> – за счет сокращения выпуска </w:t>
      </w:r>
      <w:r>
        <w:rPr>
          <w:sz w:val="27"/>
        </w:rPr>
        <w:t>конструкций и деталей конструкций из черных металлов</w:t>
      </w:r>
      <w:r>
        <w:rPr>
          <w:sz w:val="27"/>
        </w:rPr>
        <w:t>;</w:t>
      </w:r>
      <w:r>
        <w:rPr>
          <w:sz w:val="27"/>
        </w:rPr>
        <w:t xml:space="preserve"> производство машин и оборудования, не включенных </w:t>
      </w:r>
      <w:r>
        <w:rPr>
          <w:sz w:val="27"/>
        </w:rPr>
        <w:br/>
      </w:r>
      <w:r>
        <w:rPr>
          <w:sz w:val="27"/>
        </w:rPr>
        <w:t>в другие группировки (85,3 процента) – в связи со снижением производства машин и оборудования для металлургии</w:t>
      </w:r>
      <w:r>
        <w:rPr>
          <w:sz w:val="27"/>
        </w:rPr>
        <w:t>, добычи полезных ископаемых и строительства,</w:t>
      </w:r>
      <w:r>
        <w:rPr>
          <w:sz w:val="27"/>
        </w:rPr>
        <w:t xml:space="preserve"> и промышленного холодильного и вентиляционного оборудования. </w:t>
      </w:r>
    </w:p>
    <w:p w14:paraId="22000000">
      <w:pPr>
        <w:ind w:firstLine="709"/>
        <w:jc w:val="both"/>
        <w:rPr>
          <w:sz w:val="27"/>
        </w:rPr>
      </w:pPr>
      <w:r>
        <w:rPr>
          <w:sz w:val="27"/>
        </w:rPr>
        <w:t>В добыче полезных ископаемых отмечено снижение производства (</w:t>
      </w:r>
      <w:r>
        <w:rPr>
          <w:sz w:val="27"/>
        </w:rPr>
        <w:t xml:space="preserve">индекс производства – </w:t>
      </w:r>
      <w:r>
        <w:rPr>
          <w:sz w:val="27"/>
        </w:rPr>
        <w:t xml:space="preserve">98,2 </w:t>
      </w:r>
      <w:r>
        <w:rPr>
          <w:sz w:val="27"/>
        </w:rPr>
        <w:t>процента к 2018 году) за счет сокращения объемов добычи сырой нефти и природного газа</w:t>
      </w:r>
      <w:r>
        <w:rPr>
          <w:sz w:val="27"/>
        </w:rPr>
        <w:t xml:space="preserve"> (97,1 процента)</w:t>
      </w:r>
      <w:r>
        <w:rPr>
          <w:sz w:val="27"/>
        </w:rPr>
        <w:t>. В 2019 г</w:t>
      </w:r>
      <w:r>
        <w:rPr>
          <w:sz w:val="27"/>
        </w:rPr>
        <w:t>оду</w:t>
      </w:r>
      <w:r>
        <w:rPr>
          <w:sz w:val="27"/>
        </w:rPr>
        <w:t xml:space="preserve"> </w:t>
      </w:r>
      <w:r>
        <w:rPr>
          <w:sz w:val="27"/>
        </w:rPr>
        <w:t xml:space="preserve">относительно </w:t>
      </w:r>
      <w:r>
        <w:rPr>
          <w:sz w:val="27"/>
        </w:rPr>
        <w:br/>
      </w:r>
      <w:r>
        <w:rPr>
          <w:sz w:val="27"/>
        </w:rPr>
        <w:t xml:space="preserve">2018 года </w:t>
      </w:r>
      <w:r>
        <w:rPr>
          <w:sz w:val="27"/>
        </w:rPr>
        <w:t xml:space="preserve">в крае </w:t>
      </w:r>
      <w:r>
        <w:rPr>
          <w:sz w:val="27"/>
        </w:rPr>
        <w:t>газа природного и попутного добыто меньше на 11,</w:t>
      </w:r>
      <w:r>
        <w:rPr>
          <w:sz w:val="27"/>
        </w:rPr>
        <w:t>9</w:t>
      </w:r>
      <w:r>
        <w:rPr>
          <w:sz w:val="27"/>
        </w:rPr>
        <w:t xml:space="preserve"> процента, </w:t>
      </w:r>
      <w:r>
        <w:rPr>
          <w:sz w:val="27"/>
        </w:rPr>
        <w:br/>
      </w:r>
      <w:r>
        <w:rPr>
          <w:sz w:val="27"/>
        </w:rPr>
        <w:t>сырой нефти</w:t>
      </w:r>
      <w:r>
        <w:rPr>
          <w:sz w:val="27"/>
        </w:rPr>
        <w:t xml:space="preserve"> – </w:t>
      </w:r>
      <w:r>
        <w:rPr>
          <w:sz w:val="27"/>
        </w:rPr>
        <w:t>на 2,8 процента</w:t>
      </w:r>
      <w:r>
        <w:rPr>
          <w:sz w:val="27"/>
        </w:rPr>
        <w:t xml:space="preserve">. </w:t>
      </w:r>
    </w:p>
    <w:p w14:paraId="23000000">
      <w:pPr>
        <w:ind w:firstLine="709"/>
        <w:jc w:val="both"/>
        <w:rPr>
          <w:sz w:val="27"/>
        </w:rPr>
      </w:pPr>
      <w:r>
        <w:rPr>
          <w:sz w:val="27"/>
        </w:rPr>
        <w:t>В сфере обеспечения электрической энергией, газом и паром; кондиционирования воздуха (индекс производства – 99,</w:t>
      </w:r>
      <w:r>
        <w:rPr>
          <w:sz w:val="27"/>
        </w:rPr>
        <w:t>6</w:t>
      </w:r>
      <w:r>
        <w:rPr>
          <w:sz w:val="27"/>
        </w:rPr>
        <w:t xml:space="preserve"> процента) снижени</w:t>
      </w:r>
      <w:r>
        <w:rPr>
          <w:sz w:val="27"/>
        </w:rPr>
        <w:t>е</w:t>
      </w:r>
      <w:r>
        <w:rPr>
          <w:sz w:val="27"/>
        </w:rPr>
        <w:t xml:space="preserve"> объемов производства </w:t>
      </w:r>
      <w:r>
        <w:rPr>
          <w:sz w:val="27"/>
        </w:rPr>
        <w:t xml:space="preserve">связано с сокращением выработки тепловой энергии котельными и электростанциями (на </w:t>
      </w:r>
      <w:r>
        <w:rPr>
          <w:sz w:val="27"/>
        </w:rPr>
        <w:t>8,4</w:t>
      </w:r>
      <w:r>
        <w:rPr>
          <w:sz w:val="27"/>
        </w:rPr>
        <w:t xml:space="preserve"> процента и 4,</w:t>
      </w:r>
      <w:r>
        <w:rPr>
          <w:sz w:val="27"/>
        </w:rPr>
        <w:t>4</w:t>
      </w:r>
      <w:r>
        <w:rPr>
          <w:sz w:val="27"/>
        </w:rPr>
        <w:t xml:space="preserve"> процента соответственно).</w:t>
      </w:r>
      <w:r>
        <w:rPr>
          <w:sz w:val="27"/>
        </w:rPr>
        <w:t xml:space="preserve"> </w:t>
      </w:r>
    </w:p>
    <w:p w14:paraId="24000000">
      <w:pPr>
        <w:ind w:firstLine="709"/>
        <w:jc w:val="both"/>
        <w:rPr>
          <w:sz w:val="27"/>
        </w:rPr>
      </w:pPr>
      <w:r>
        <w:rPr>
          <w:sz w:val="27"/>
        </w:rPr>
        <w:t>По виду деятельности «В</w:t>
      </w:r>
      <w:r>
        <w:rPr>
          <w:sz w:val="27"/>
        </w:rPr>
        <w:t xml:space="preserve">одоснабжение; водоотведение, организация сбора </w:t>
      </w:r>
      <w:r>
        <w:rPr>
          <w:sz w:val="27"/>
        </w:rPr>
        <w:br/>
      </w:r>
      <w:r>
        <w:rPr>
          <w:sz w:val="27"/>
        </w:rPr>
        <w:t>и утилизации отходов, деятельность по ликвидации загрязнений</w:t>
      </w:r>
      <w:r>
        <w:rPr>
          <w:sz w:val="27"/>
        </w:rPr>
        <w:t>»</w:t>
      </w:r>
      <w:r>
        <w:rPr>
          <w:sz w:val="27"/>
        </w:rPr>
        <w:t xml:space="preserve"> (индекс производства – 100,</w:t>
      </w:r>
      <w:r>
        <w:rPr>
          <w:sz w:val="27"/>
        </w:rPr>
        <w:t>1</w:t>
      </w:r>
      <w:r>
        <w:rPr>
          <w:sz w:val="27"/>
        </w:rPr>
        <w:t xml:space="preserve"> процента) рост объемов производства обеспечили организации по с</w:t>
      </w:r>
      <w:r>
        <w:rPr>
          <w:sz w:val="27"/>
        </w:rPr>
        <w:t>бор</w:t>
      </w:r>
      <w:r>
        <w:rPr>
          <w:sz w:val="27"/>
        </w:rPr>
        <w:t>у</w:t>
      </w:r>
      <w:r>
        <w:rPr>
          <w:sz w:val="27"/>
        </w:rPr>
        <w:t>, обработк</w:t>
      </w:r>
      <w:r>
        <w:rPr>
          <w:sz w:val="27"/>
        </w:rPr>
        <w:t>е</w:t>
      </w:r>
      <w:r>
        <w:rPr>
          <w:sz w:val="27"/>
        </w:rPr>
        <w:t xml:space="preserve"> и утилизаци</w:t>
      </w:r>
      <w:r>
        <w:rPr>
          <w:sz w:val="27"/>
        </w:rPr>
        <w:t>и</w:t>
      </w:r>
      <w:r>
        <w:rPr>
          <w:sz w:val="27"/>
        </w:rPr>
        <w:t xml:space="preserve"> отходов; обработк</w:t>
      </w:r>
      <w:r>
        <w:rPr>
          <w:sz w:val="27"/>
        </w:rPr>
        <w:t>е</w:t>
      </w:r>
      <w:r>
        <w:rPr>
          <w:sz w:val="27"/>
        </w:rPr>
        <w:t xml:space="preserve"> вторичного сырья</w:t>
      </w:r>
      <w:r>
        <w:rPr>
          <w:sz w:val="27"/>
        </w:rPr>
        <w:t xml:space="preserve"> – 104,1 процента относительно 2018 года.</w:t>
      </w:r>
    </w:p>
    <w:p w14:paraId="25000000">
      <w:pPr>
        <w:ind w:firstLine="709"/>
        <w:jc w:val="both"/>
        <w:rPr>
          <w:sz w:val="27"/>
        </w:rPr>
      </w:pPr>
      <w:r>
        <w:rPr>
          <w:sz w:val="27"/>
        </w:rPr>
        <w:t xml:space="preserve">По предварительным данным, среднесписочная численность работников (без внешних совместителей) в организациях промышленного производства </w:t>
      </w:r>
      <w:r>
        <w:rPr>
          <w:sz w:val="27"/>
        </w:rPr>
        <w:br/>
      </w:r>
      <w:r>
        <w:rPr>
          <w:sz w:val="27"/>
        </w:rPr>
        <w:t xml:space="preserve">в 2019 году </w:t>
      </w:r>
      <w:r>
        <w:rPr>
          <w:sz w:val="27"/>
        </w:rPr>
        <w:t>составила 213,9 тысяч</w:t>
      </w:r>
      <w:r>
        <w:rPr>
          <w:sz w:val="27"/>
        </w:rPr>
        <w:t>и</w:t>
      </w:r>
      <w:r>
        <w:rPr>
          <w:sz w:val="27"/>
        </w:rPr>
        <w:t xml:space="preserve"> человек, или 22,8 процента </w:t>
      </w:r>
      <w:r>
        <w:rPr>
          <w:sz w:val="27"/>
        </w:rPr>
        <w:br/>
      </w:r>
      <w:r>
        <w:rPr>
          <w:sz w:val="27"/>
        </w:rPr>
        <w:t>от среднесписочной численности работников организаций края.</w:t>
      </w:r>
      <w:r>
        <w:rPr>
          <w:sz w:val="27"/>
        </w:rPr>
        <w:t xml:space="preserve"> Среднемесячная номинальная начисленная заработная плата работников промы</w:t>
      </w:r>
      <w:r>
        <w:rPr>
          <w:sz w:val="27"/>
        </w:rPr>
        <w:t xml:space="preserve">шленных организаций составила </w:t>
      </w:r>
      <w:r>
        <w:rPr>
          <w:sz w:val="27"/>
        </w:rPr>
        <w:t>66137,7</w:t>
      </w:r>
      <w:r>
        <w:rPr>
          <w:sz w:val="27"/>
        </w:rPr>
        <w:t xml:space="preserve"> рубля</w:t>
      </w:r>
      <w:r>
        <w:rPr>
          <w:sz w:val="27"/>
        </w:rPr>
        <w:t xml:space="preserve">, что на 6,6 процента выше, </w:t>
      </w:r>
      <w:r>
        <w:rPr>
          <w:sz w:val="27"/>
        </w:rPr>
        <w:br/>
      </w:r>
      <w:r>
        <w:rPr>
          <w:sz w:val="27"/>
        </w:rPr>
        <w:t>чем за соответствующий период 2018 года.</w:t>
      </w:r>
    </w:p>
    <w:p w14:paraId="26000000">
      <w:pPr>
        <w:ind w:firstLine="709"/>
        <w:jc w:val="both"/>
        <w:rPr>
          <w:sz w:val="27"/>
        </w:rPr>
      </w:pPr>
      <w:r>
        <w:rPr>
          <w:sz w:val="27"/>
        </w:rPr>
        <w:t xml:space="preserve">В 2019 году сальдированный финансовый </w:t>
      </w:r>
      <w:r>
        <w:rPr>
          <w:sz w:val="27"/>
        </w:rPr>
        <w:t xml:space="preserve">результат (прибыль минус </w:t>
      </w:r>
      <w:r>
        <w:rPr>
          <w:sz w:val="27"/>
        </w:rPr>
        <w:br/>
      </w:r>
      <w:r>
        <w:rPr>
          <w:sz w:val="27"/>
        </w:rPr>
        <w:t>убыток) промышленных организаций</w:t>
      </w:r>
      <w:r>
        <w:rPr>
          <w:sz w:val="27"/>
          <w:vertAlign w:val="superscript"/>
        </w:rPr>
        <w:t>1</w:t>
      </w:r>
      <w:r>
        <w:rPr>
          <w:sz w:val="27"/>
          <w:vertAlign w:val="superscript"/>
        </w:rPr>
        <w:t>)</w:t>
      </w:r>
      <w:r>
        <w:rPr>
          <w:sz w:val="27"/>
        </w:rPr>
        <w:t xml:space="preserve"> края составил</w:t>
      </w:r>
      <w:r>
        <w:rPr>
          <w:sz w:val="27"/>
        </w:rPr>
        <w:t xml:space="preserve"> </w:t>
      </w:r>
      <w:r>
        <w:rPr>
          <w:sz w:val="27"/>
        </w:rPr>
        <w:t>1090,6</w:t>
      </w:r>
      <w:r>
        <w:rPr>
          <w:sz w:val="27"/>
        </w:rPr>
        <w:t xml:space="preserve"> миллиарда рублей. </w:t>
      </w:r>
      <w:r>
        <w:rPr>
          <w:sz w:val="27"/>
        </w:rPr>
        <w:br/>
      </w:r>
      <w:r>
        <w:rPr>
          <w:sz w:val="27"/>
        </w:rPr>
        <w:t>Среди организаций промышленности</w:t>
      </w:r>
      <w:r>
        <w:rPr>
          <w:sz w:val="27"/>
        </w:rPr>
        <w:t xml:space="preserve"> </w:t>
      </w:r>
      <w:r>
        <w:rPr>
          <w:sz w:val="27"/>
        </w:rPr>
        <w:t>69,5</w:t>
      </w:r>
      <w:r>
        <w:rPr>
          <w:sz w:val="27"/>
        </w:rPr>
        <w:t xml:space="preserve"> процента получили прибыль </w:t>
      </w:r>
      <w:r>
        <w:rPr>
          <w:sz w:val="27"/>
        </w:rPr>
        <w:br/>
      </w:r>
      <w:r>
        <w:rPr>
          <w:sz w:val="27"/>
        </w:rPr>
        <w:t xml:space="preserve">до налогообложения в размере </w:t>
      </w:r>
      <w:r>
        <w:rPr>
          <w:sz w:val="27"/>
        </w:rPr>
        <w:t>1106,9</w:t>
      </w:r>
      <w:r>
        <w:rPr>
          <w:sz w:val="27"/>
        </w:rPr>
        <w:t xml:space="preserve"> миллиарда рублей. </w:t>
      </w:r>
      <w:r>
        <w:rPr>
          <w:sz w:val="27"/>
        </w:rPr>
        <w:t xml:space="preserve">Из общего объема прибыли 67,2 процента или 743,6 миллиарда рублей сформировано организациями металлургического производства, 14,6 процента, или 161,6 миллиарда рублей, – организациями по добыче сырой нефти и природного газа, 12,5 процента, </w:t>
      </w:r>
      <w:r>
        <w:rPr>
          <w:sz w:val="27"/>
        </w:rPr>
        <w:br/>
      </w:r>
      <w:r>
        <w:rPr>
          <w:sz w:val="27"/>
        </w:rPr>
        <w:t>или 138,3 миллиарда рублей, – организациями по п</w:t>
      </w:r>
      <w:r>
        <w:rPr>
          <w:sz w:val="27"/>
        </w:rPr>
        <w:t>роизводств</w:t>
      </w:r>
      <w:r>
        <w:rPr>
          <w:sz w:val="27"/>
        </w:rPr>
        <w:t>у</w:t>
      </w:r>
      <w:r>
        <w:rPr>
          <w:sz w:val="27"/>
        </w:rPr>
        <w:t>, передач</w:t>
      </w:r>
      <w:r>
        <w:rPr>
          <w:sz w:val="27"/>
        </w:rPr>
        <w:t>е</w:t>
      </w:r>
      <w:r>
        <w:rPr>
          <w:sz w:val="27"/>
        </w:rPr>
        <w:t xml:space="preserve"> </w:t>
      </w:r>
      <w:r>
        <w:rPr>
          <w:sz w:val="27"/>
        </w:rPr>
        <w:br/>
      </w:r>
      <w:r>
        <w:rPr>
          <w:sz w:val="27"/>
        </w:rPr>
        <w:t>и распределени</w:t>
      </w:r>
      <w:r>
        <w:rPr>
          <w:sz w:val="27"/>
        </w:rPr>
        <w:t>ю</w:t>
      </w:r>
      <w:r>
        <w:rPr>
          <w:sz w:val="27"/>
        </w:rPr>
        <w:t xml:space="preserve"> электроэнергии</w:t>
      </w:r>
      <w:r>
        <w:rPr>
          <w:sz w:val="27"/>
        </w:rPr>
        <w:t xml:space="preserve">. </w:t>
      </w:r>
    </w:p>
    <w:p w14:paraId="27000000">
      <w:pPr>
        <w:spacing w:line="276" w:lineRule="auto"/>
        <w:ind w:firstLine="709"/>
        <w:jc w:val="both"/>
        <w:rPr>
          <w:sz w:val="16"/>
        </w:rPr>
      </w:pPr>
    </w:p>
    <w:p w14:paraId="28000000">
      <w:pPr>
        <w:spacing w:line="276" w:lineRule="auto"/>
        <w:ind w:firstLine="709"/>
        <w:jc w:val="both"/>
        <w:rPr>
          <w:sz w:val="16"/>
        </w:rPr>
      </w:pPr>
    </w:p>
    <w:p w14:paraId="29000000">
      <w:pPr>
        <w:spacing w:line="276" w:lineRule="auto"/>
        <w:ind w:firstLine="709"/>
        <w:jc w:val="both"/>
        <w:rPr>
          <w:sz w:val="16"/>
        </w:rPr>
      </w:pPr>
    </w:p>
    <w:p w14:paraId="2A000000">
      <w:pPr>
        <w:spacing w:line="276" w:lineRule="auto"/>
        <w:ind w:firstLine="709"/>
        <w:jc w:val="both"/>
        <w:rPr>
          <w:sz w:val="16"/>
        </w:rPr>
      </w:pPr>
    </w:p>
    <w:p w14:paraId="2B000000">
      <w:pPr>
        <w:spacing w:line="276" w:lineRule="auto"/>
        <w:ind w:firstLine="709"/>
        <w:jc w:val="both"/>
        <w:rPr>
          <w:sz w:val="16"/>
        </w:rPr>
      </w:pPr>
    </w:p>
    <w:p w14:paraId="2C000000">
      <w:pPr>
        <w:spacing w:line="276" w:lineRule="auto"/>
        <w:ind w:firstLine="709"/>
        <w:jc w:val="both"/>
        <w:rPr>
          <w:sz w:val="16"/>
        </w:rPr>
      </w:pPr>
    </w:p>
    <w:p w14:paraId="2D000000">
      <w:pPr>
        <w:spacing w:line="276" w:lineRule="auto"/>
        <w:ind w:firstLine="709"/>
        <w:jc w:val="both"/>
        <w:rPr>
          <w:sz w:val="16"/>
        </w:rPr>
      </w:pPr>
    </w:p>
    <w:p w14:paraId="2E000000">
      <w:pPr>
        <w:spacing w:line="276" w:lineRule="auto"/>
        <w:ind w:firstLine="709"/>
        <w:jc w:val="both"/>
        <w:rPr>
          <w:sz w:val="16"/>
        </w:rPr>
      </w:pPr>
    </w:p>
    <w:p w14:paraId="2F000000">
      <w:pPr>
        <w:spacing w:line="276" w:lineRule="auto"/>
        <w:ind w:firstLine="709"/>
        <w:jc w:val="both"/>
        <w:rPr>
          <w:sz w:val="16"/>
        </w:rPr>
      </w:pPr>
    </w:p>
    <w:p w14:paraId="30000000">
      <w:pPr>
        <w:spacing w:line="276" w:lineRule="auto"/>
        <w:ind w:firstLine="709"/>
        <w:jc w:val="both"/>
        <w:rPr>
          <w:sz w:val="16"/>
        </w:rPr>
      </w:pPr>
    </w:p>
    <w:p w14:paraId="31000000">
      <w:pPr>
        <w:spacing w:line="276" w:lineRule="auto"/>
        <w:ind w:firstLine="709"/>
        <w:jc w:val="both"/>
        <w:rPr>
          <w:sz w:val="16"/>
        </w:rPr>
      </w:pPr>
    </w:p>
    <w:p w14:paraId="32000000">
      <w:pPr>
        <w:spacing w:line="276" w:lineRule="auto"/>
        <w:ind w:firstLine="709"/>
        <w:jc w:val="both"/>
        <w:rPr>
          <w:sz w:val="16"/>
        </w:rPr>
      </w:pPr>
    </w:p>
    <w:p w14:paraId="33000000">
      <w:pPr>
        <w:pStyle w:val="Style_5"/>
        <w:widowControl w:val="0"/>
        <w:numPr>
          <w:ilvl w:val="0"/>
          <w:numId w:val="1"/>
        </w:numPr>
        <w:tabs>
          <w:tab w:leader="none" w:pos="284" w:val="left"/>
        </w:tabs>
        <w:spacing w:line="240" w:lineRule="auto"/>
        <w:ind w:firstLine="0" w:left="0" w:right="142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Данные приведены по основным видам экономической деятельности и отражают коммерческую деятельность организаций, не относящихся к субъектам малого предпринимательства, средняя численность работников которых превышает 15 человек; оперативные данные приведены по месту регистрации юридических лиц.</w:t>
      </w:r>
    </w:p>
    <w:sectPr>
      <w:pgSz w:h="16838" w:w="11906"/>
      <w:pgMar w:bottom="568" w:footer="709" w:gutter="0" w:header="709" w:left="1134" w:right="1134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)"/>
      <w:lvlJc w:val="left"/>
      <w:pPr>
        <w:ind w:hanging="360" w:left="720"/>
      </w:pPr>
      <w:rPr>
        <w:rFonts w:ascii="Times New Roman" w:hAnsi="Times New Roman"/>
        <w:sz w:val="19"/>
        <w:vertAlign w:val="superscript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6_ch" w:type="character">
    <w:name w:val="Normal"/>
    <w:link w:val="Style_6"/>
    <w:rPr>
      <w:rFonts w:ascii="Times New Roman" w:hAnsi="Times New Roman"/>
      <w:sz w:val="20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footnote reference"/>
    <w:basedOn w:val="Style_10"/>
    <w:link w:val="Style_9_ch"/>
    <w:rPr>
      <w:vertAlign w:val="superscript"/>
    </w:rPr>
  </w:style>
  <w:style w:styleId="Style_9_ch" w:type="character">
    <w:name w:val="footnote reference"/>
    <w:basedOn w:val="Style_10_ch"/>
    <w:link w:val="Style_9"/>
    <w:rPr>
      <w:vertAlign w:val="superscript"/>
    </w:rPr>
  </w:style>
  <w:style w:styleId="Style_11" w:type="paragraph">
    <w:name w:val="toc 6"/>
    <w:next w:val="Style_6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6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3" w:type="paragraph">
    <w:name w:val="heading 3"/>
    <w:next w:val="Style_6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5" w:type="paragraph">
    <w:name w:val="List Paragraph"/>
    <w:basedOn w:val="Style_6"/>
    <w:link w:val="Style_5_ch"/>
    <w:pPr>
      <w:spacing w:line="276" w:lineRule="auto"/>
      <w:ind w:firstLine="0" w:left="720"/>
      <w:contextualSpacing w:val="1"/>
    </w:pPr>
    <w:rPr>
      <w:rFonts w:ascii="Calibri" w:hAnsi="Calibri"/>
      <w:sz w:val="22"/>
    </w:rPr>
  </w:style>
  <w:style w:styleId="Style_5_ch" w:type="character">
    <w:name w:val="List Paragraph"/>
    <w:basedOn w:val="Style_6_ch"/>
    <w:link w:val="Style_5"/>
    <w:rPr>
      <w:rFonts w:ascii="Calibri" w:hAnsi="Calibri"/>
      <w:sz w:val="22"/>
    </w:rPr>
  </w:style>
  <w:style w:styleId="Style_14" w:type="paragraph">
    <w:name w:val="Body Text Indent"/>
    <w:basedOn w:val="Style_6"/>
    <w:link w:val="Style_14_ch"/>
    <w:pPr>
      <w:spacing w:after="120"/>
      <w:ind w:firstLine="0" w:left="283"/>
    </w:pPr>
  </w:style>
  <w:style w:styleId="Style_14_ch" w:type="character">
    <w:name w:val="Body Text Indent"/>
    <w:basedOn w:val="Style_6_ch"/>
    <w:link w:val="Style_14"/>
  </w:style>
  <w:style w:styleId="Style_15" w:type="paragraph">
    <w:name w:val="toc 3"/>
    <w:next w:val="Style_6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Обычfd"/>
    <w:link w:val="Style_16_ch"/>
    <w:pPr>
      <w:widowControl w:val="0"/>
      <w:spacing w:after="0" w:line="240" w:lineRule="auto"/>
      <w:ind/>
    </w:pPr>
    <w:rPr>
      <w:rFonts w:ascii="Times New Roman" w:hAnsi="Times New Roman"/>
      <w:sz w:val="20"/>
    </w:rPr>
  </w:style>
  <w:style w:styleId="Style_16_ch" w:type="character">
    <w:name w:val="Обычfd"/>
    <w:link w:val="Style_16"/>
    <w:rPr>
      <w:rFonts w:ascii="Times New Roman" w:hAnsi="Times New Roman"/>
      <w:sz w:val="20"/>
    </w:rPr>
  </w:style>
  <w:style w:styleId="Style_17" w:type="paragraph">
    <w:name w:val="heading 5"/>
    <w:next w:val="Style_6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18" w:type="paragraph">
    <w:name w:val="heading 1"/>
    <w:next w:val="Style_6"/>
    <w:link w:val="Style_18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" w:type="paragraph">
    <w:name w:val="Body Text"/>
    <w:basedOn w:val="Style_6"/>
    <w:link w:val="Style_1_ch"/>
    <w:pPr>
      <w:ind/>
      <w:jc w:val="both"/>
    </w:pPr>
    <w:rPr>
      <w:sz w:val="28"/>
    </w:rPr>
  </w:style>
  <w:style w:styleId="Style_1_ch" w:type="character">
    <w:name w:val="Body Text"/>
    <w:basedOn w:val="Style_6_ch"/>
    <w:link w:val="Style_1"/>
    <w:rPr>
      <w:sz w:val="28"/>
    </w:rPr>
  </w:style>
  <w:style w:styleId="Style_19" w:type="paragraph">
    <w:name w:val="Balloon Text"/>
    <w:basedOn w:val="Style_6"/>
    <w:link w:val="Style_19_ch"/>
    <w:rPr>
      <w:rFonts w:ascii="Tahoma" w:hAnsi="Tahoma"/>
      <w:sz w:val="16"/>
    </w:rPr>
  </w:style>
  <w:style w:styleId="Style_19_ch" w:type="character">
    <w:name w:val="Balloon Text"/>
    <w:basedOn w:val="Style_6_ch"/>
    <w:link w:val="Style_19"/>
    <w:rPr>
      <w:rFonts w:ascii="Tahoma" w:hAnsi="Tahoma"/>
      <w:sz w:val="16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basedOn w:val="Style_6"/>
    <w:link w:val="Style_21_ch"/>
  </w:style>
  <w:style w:styleId="Style_21_ch" w:type="character">
    <w:name w:val="Footnote"/>
    <w:basedOn w:val="Style_6_ch"/>
    <w:link w:val="Style_21"/>
  </w:style>
  <w:style w:styleId="Style_22" w:type="paragraph">
    <w:name w:val="toc 1"/>
    <w:next w:val="Style_6"/>
    <w:link w:val="Style_22_ch"/>
    <w:uiPriority w:val="39"/>
    <w:pPr>
      <w:ind w:firstLine="0" w:left="0"/>
    </w:pPr>
    <w:rPr>
      <w:rFonts w:ascii="XO Thames" w:hAnsi="XO Thames"/>
      <w:b w:val="1"/>
    </w:rPr>
  </w:style>
  <w:style w:styleId="Style_22_ch" w:type="character">
    <w:name w:val="toc 1"/>
    <w:link w:val="Style_22"/>
    <w:rPr>
      <w:rFonts w:ascii="XO Thames" w:hAnsi="XO Thames"/>
      <w:b w:val="1"/>
    </w:rPr>
  </w:style>
  <w:style w:styleId="Style_23" w:type="paragraph">
    <w:name w:val="Header and Footer"/>
    <w:link w:val="Style_23_ch"/>
    <w:pPr>
      <w:spacing w:line="360" w:lineRule="auto"/>
      <w:ind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6"/>
    <w:link w:val="Style_24_ch"/>
    <w:uiPriority w:val="39"/>
    <w:pPr>
      <w:ind w:firstLine="0" w:left="1600"/>
    </w:pPr>
  </w:style>
  <w:style w:styleId="Style_24_ch" w:type="character">
    <w:name w:val="toc 9"/>
    <w:link w:val="Style_24"/>
  </w:style>
  <w:style w:styleId="Style_2" w:type="paragraph">
    <w:name w:val="Body Text 3"/>
    <w:basedOn w:val="Style_6"/>
    <w:link w:val="Style_2_ch"/>
    <w:pPr>
      <w:ind/>
      <w:jc w:val="center"/>
    </w:pPr>
    <w:rPr>
      <w:b w:val="1"/>
      <w:sz w:val="28"/>
    </w:rPr>
  </w:style>
  <w:style w:styleId="Style_2_ch" w:type="character">
    <w:name w:val="Body Text 3"/>
    <w:basedOn w:val="Style_6_ch"/>
    <w:link w:val="Style_2"/>
    <w:rPr>
      <w:b w:val="1"/>
      <w:sz w:val="28"/>
    </w:rPr>
  </w:style>
  <w:style w:styleId="Style_25" w:type="paragraph">
    <w:name w:val="toc 8"/>
    <w:next w:val="Style_6"/>
    <w:link w:val="Style_25_ch"/>
    <w:uiPriority w:val="39"/>
    <w:pPr>
      <w:ind w:firstLine="0" w:left="1400"/>
    </w:pPr>
  </w:style>
  <w:style w:styleId="Style_25_ch" w:type="character">
    <w:name w:val="toc 8"/>
    <w:link w:val="Style_25"/>
  </w:style>
  <w:style w:styleId="Style_26" w:type="paragraph">
    <w:name w:val="toc 5"/>
    <w:next w:val="Style_6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27" w:type="paragraph">
    <w:name w:val="Subtitle"/>
    <w:next w:val="Style_6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6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next w:val="Style_6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6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heading 2"/>
    <w:basedOn w:val="Style_6"/>
    <w:next w:val="Style_6"/>
    <w:link w:val="Style_31_ch"/>
    <w:uiPriority w:val="9"/>
    <w:qFormat/>
    <w:pPr>
      <w:keepNext w:val="1"/>
      <w:ind/>
      <w:jc w:val="center"/>
      <w:outlineLvl w:val="1"/>
    </w:pPr>
    <w:rPr>
      <w:rFonts w:ascii="Arial" w:hAnsi="Arial"/>
      <w:b w:val="1"/>
      <w:sz w:val="28"/>
    </w:rPr>
  </w:style>
  <w:style w:styleId="Style_31_ch" w:type="character">
    <w:name w:val="heading 2"/>
    <w:basedOn w:val="Style_6_ch"/>
    <w:link w:val="Style_31"/>
    <w:rPr>
      <w:rFonts w:ascii="Arial" w:hAnsi="Arial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2020-06-18T06:10:59Z</dcterms:modified>
</cp:coreProperties>
</file>